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95"/>
        <w:tblW w:w="14076" w:type="dxa"/>
        <w:tblLook w:val="04A0" w:firstRow="1" w:lastRow="0" w:firstColumn="1" w:lastColumn="0" w:noHBand="0" w:noVBand="1"/>
      </w:tblPr>
      <w:tblGrid>
        <w:gridCol w:w="14076"/>
      </w:tblGrid>
      <w:tr w:rsidR="007667E5" w14:paraId="231A2B09" w14:textId="77777777" w:rsidTr="007667E5">
        <w:trPr>
          <w:trHeight w:val="344"/>
        </w:trPr>
        <w:tc>
          <w:tcPr>
            <w:tcW w:w="14076" w:type="dxa"/>
            <w:shd w:val="clear" w:color="auto" w:fill="FFFFFF" w:themeFill="background1"/>
          </w:tcPr>
          <w:p w14:paraId="65A7F381" w14:textId="75C2CAAF" w:rsidR="007667E5" w:rsidRDefault="002A122B" w:rsidP="00C44E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E698DB" wp14:editId="742A07C8">
                  <wp:extent cx="1317625" cy="4082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46" cy="4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2D5ED" w14:textId="77777777" w:rsidR="007667E5" w:rsidRDefault="00F11716" w:rsidP="00C44E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</w:pPr>
            <w:r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>Safely</w:t>
            </w:r>
            <w:r w:rsidR="00966B38"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 xml:space="preserve"> S</w:t>
            </w:r>
            <w:r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 xml:space="preserve">ecuring </w:t>
            </w:r>
            <w:r w:rsidR="00966B38"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>Y</w:t>
            </w:r>
            <w:r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 xml:space="preserve">our </w:t>
            </w:r>
            <w:r w:rsidR="00966B38"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>S</w:t>
            </w:r>
            <w:r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 xml:space="preserve">tudents’ </w:t>
            </w:r>
            <w:r w:rsidR="00966B38"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>W</w:t>
            </w:r>
            <w:r w:rsidRPr="00C44E48">
              <w:rPr>
                <w:rFonts w:ascii="Calibri" w:eastAsia="Calibri" w:hAnsi="Calibri" w:cs="Times New Roman"/>
                <w:i/>
                <w:iCs/>
                <w:color w:val="002060"/>
                <w:sz w:val="24"/>
                <w:szCs w:val="24"/>
              </w:rPr>
              <w:t>ellbeing</w:t>
            </w:r>
          </w:p>
          <w:p w14:paraId="1725E04A" w14:textId="43F027AE" w:rsidR="0048229E" w:rsidRPr="0048229E" w:rsidRDefault="0048229E" w:rsidP="0048229E">
            <w:pPr>
              <w:spacing w:after="160" w:line="259" w:lineRule="auto"/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2060"/>
                <w:sz w:val="24"/>
                <w:szCs w:val="24"/>
              </w:rPr>
              <w:t>Enter school name and logo</w:t>
            </w:r>
          </w:p>
        </w:tc>
      </w:tr>
    </w:tbl>
    <w:p w14:paraId="515DB839" w14:textId="795C62FA" w:rsidR="0089285B" w:rsidRDefault="0089285B" w:rsidP="00591C42">
      <w:pPr>
        <w:ind w:left="4320" w:firstLine="720"/>
        <w:rPr>
          <w:rFonts w:cstheme="minorHAns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55"/>
        <w:gridCol w:w="4860"/>
        <w:gridCol w:w="2070"/>
        <w:gridCol w:w="1980"/>
      </w:tblGrid>
      <w:tr w:rsidR="00F23C34" w:rsidRPr="00F23C34" w14:paraId="0C53D7DC" w14:textId="77777777" w:rsidTr="0048229E">
        <w:tc>
          <w:tcPr>
            <w:tcW w:w="13765" w:type="dxa"/>
            <w:gridSpan w:val="4"/>
            <w:shd w:val="clear" w:color="auto" w:fill="9CC2E5" w:themeFill="accent1" w:themeFillTint="99"/>
          </w:tcPr>
          <w:p w14:paraId="561D0A08" w14:textId="77777777" w:rsidR="00F23C34" w:rsidRPr="00F23C34" w:rsidRDefault="00F23C34" w:rsidP="00F23C34">
            <w:r w:rsidRPr="00F23C34">
              <w:t xml:space="preserve">LEADERSHIP – structures are in place and visible throughout </w:t>
            </w:r>
            <w:proofErr w:type="gramStart"/>
            <w:r w:rsidRPr="00F23C34">
              <w:t>school</w:t>
            </w:r>
            <w:proofErr w:type="gramEnd"/>
          </w:p>
          <w:p w14:paraId="3316CA18" w14:textId="77777777" w:rsidR="00F23C34" w:rsidRPr="00F23C34" w:rsidRDefault="00F23C34" w:rsidP="00F23C34"/>
        </w:tc>
      </w:tr>
      <w:tr w:rsidR="00F23C34" w:rsidRPr="00F23C34" w14:paraId="10D64147" w14:textId="77777777" w:rsidTr="004D0264">
        <w:tc>
          <w:tcPr>
            <w:tcW w:w="4855" w:type="dxa"/>
          </w:tcPr>
          <w:p w14:paraId="049A3DEC" w14:textId="77777777" w:rsidR="00F23C34" w:rsidRDefault="00F23C34" w:rsidP="00935EC9">
            <w:pPr>
              <w:jc w:val="center"/>
            </w:pPr>
            <w:r w:rsidRPr="00F23C34">
              <w:t>Indicator</w:t>
            </w:r>
          </w:p>
          <w:p w14:paraId="078CBDEF" w14:textId="1A4282A2" w:rsidR="00AF4C9F" w:rsidRPr="00F23C34" w:rsidRDefault="00AF4C9F" w:rsidP="00935EC9">
            <w:pPr>
              <w:jc w:val="center"/>
            </w:pPr>
          </w:p>
        </w:tc>
        <w:tc>
          <w:tcPr>
            <w:tcW w:w="4860" w:type="dxa"/>
          </w:tcPr>
          <w:p w14:paraId="3D5F3757" w14:textId="77777777" w:rsidR="00F23C34" w:rsidRPr="00F23C34" w:rsidRDefault="00F23C34" w:rsidP="00935EC9">
            <w:pPr>
              <w:jc w:val="center"/>
            </w:pPr>
            <w:r w:rsidRPr="00F23C34">
              <w:t>Evidence</w:t>
            </w:r>
          </w:p>
        </w:tc>
        <w:tc>
          <w:tcPr>
            <w:tcW w:w="2070" w:type="dxa"/>
          </w:tcPr>
          <w:p w14:paraId="08DAE352" w14:textId="77777777" w:rsidR="00F23C34" w:rsidRPr="00F23C34" w:rsidRDefault="00F23C34" w:rsidP="00935EC9">
            <w:pPr>
              <w:jc w:val="center"/>
            </w:pPr>
            <w:r w:rsidRPr="00F23C34">
              <w:t>Risk Rating</w:t>
            </w:r>
          </w:p>
        </w:tc>
        <w:tc>
          <w:tcPr>
            <w:tcW w:w="1980" w:type="dxa"/>
          </w:tcPr>
          <w:p w14:paraId="504F64AE" w14:textId="77777777" w:rsidR="00F23C34" w:rsidRPr="00F23C34" w:rsidRDefault="00F23C34" w:rsidP="00935EC9">
            <w:pPr>
              <w:jc w:val="center"/>
            </w:pPr>
            <w:r w:rsidRPr="00F23C34">
              <w:t>Action Required</w:t>
            </w:r>
          </w:p>
        </w:tc>
      </w:tr>
      <w:tr w:rsidR="00F23C34" w:rsidRPr="00F23C34" w14:paraId="288482C3" w14:textId="77777777" w:rsidTr="004D0264">
        <w:tc>
          <w:tcPr>
            <w:tcW w:w="4855" w:type="dxa"/>
          </w:tcPr>
          <w:p w14:paraId="06930103" w14:textId="6A08F497" w:rsidR="00F23C34" w:rsidRPr="00F23C34" w:rsidRDefault="00F23C34" w:rsidP="00F23C34">
            <w:r w:rsidRPr="00F23C34">
              <w:t xml:space="preserve">The SLT and Governors are aware of the </w:t>
            </w:r>
            <w:r w:rsidR="0090145E">
              <w:t>PREVENT</w:t>
            </w:r>
            <w:r w:rsidRPr="00F23C34">
              <w:t xml:space="preserve"> Strategy and its objectives</w:t>
            </w:r>
          </w:p>
        </w:tc>
        <w:tc>
          <w:tcPr>
            <w:tcW w:w="4860" w:type="dxa"/>
          </w:tcPr>
          <w:p w14:paraId="509A76C1" w14:textId="77777777" w:rsidR="00F23C34" w:rsidRPr="00F23C34" w:rsidRDefault="00F23C34" w:rsidP="00F23C34"/>
        </w:tc>
        <w:tc>
          <w:tcPr>
            <w:tcW w:w="2070" w:type="dxa"/>
          </w:tcPr>
          <w:p w14:paraId="50CA9976" w14:textId="77777777" w:rsidR="00F23C34" w:rsidRPr="00F23C34" w:rsidRDefault="00F23C34" w:rsidP="00F23C34"/>
        </w:tc>
        <w:tc>
          <w:tcPr>
            <w:tcW w:w="1980" w:type="dxa"/>
          </w:tcPr>
          <w:p w14:paraId="076E2B6C" w14:textId="77777777" w:rsidR="00F23C34" w:rsidRPr="00F23C34" w:rsidRDefault="00F23C34" w:rsidP="00F23C34"/>
        </w:tc>
      </w:tr>
      <w:tr w:rsidR="00F23C34" w:rsidRPr="00F23C34" w14:paraId="72DBC513" w14:textId="77777777" w:rsidTr="004D0264">
        <w:tc>
          <w:tcPr>
            <w:tcW w:w="4855" w:type="dxa"/>
          </w:tcPr>
          <w:p w14:paraId="7E9932FA" w14:textId="15F2F92C" w:rsidR="00F23C34" w:rsidRPr="00F23C34" w:rsidRDefault="00F23C34" w:rsidP="00F23C34">
            <w:r w:rsidRPr="00F23C34">
              <w:t xml:space="preserve">There is an Identified </w:t>
            </w:r>
            <w:r w:rsidR="0090145E">
              <w:t>PREVENT</w:t>
            </w:r>
            <w:r w:rsidRPr="00F23C34">
              <w:t xml:space="preserve"> Lead within the school who understands expectations and key priorities to deliver the </w:t>
            </w:r>
            <w:r w:rsidR="0090145E">
              <w:t>PREVENT</w:t>
            </w:r>
            <w:r w:rsidRPr="00F23C34">
              <w:t xml:space="preserve"> Duty</w:t>
            </w:r>
          </w:p>
        </w:tc>
        <w:tc>
          <w:tcPr>
            <w:tcW w:w="4860" w:type="dxa"/>
          </w:tcPr>
          <w:p w14:paraId="56458D3E" w14:textId="77777777" w:rsidR="00F23C34" w:rsidRPr="00F23C34" w:rsidRDefault="00F23C34" w:rsidP="00F23C34"/>
        </w:tc>
        <w:tc>
          <w:tcPr>
            <w:tcW w:w="2070" w:type="dxa"/>
          </w:tcPr>
          <w:p w14:paraId="45485712" w14:textId="77777777" w:rsidR="00F23C34" w:rsidRPr="00F23C34" w:rsidRDefault="00F23C34" w:rsidP="00F23C34"/>
        </w:tc>
        <w:tc>
          <w:tcPr>
            <w:tcW w:w="1980" w:type="dxa"/>
          </w:tcPr>
          <w:p w14:paraId="03411553" w14:textId="77777777" w:rsidR="00F23C34" w:rsidRPr="00F23C34" w:rsidRDefault="00F23C34" w:rsidP="00F23C34"/>
        </w:tc>
      </w:tr>
      <w:tr w:rsidR="00F23C34" w:rsidRPr="00F23C34" w14:paraId="3621B3FD" w14:textId="77777777" w:rsidTr="004D0264">
        <w:tc>
          <w:tcPr>
            <w:tcW w:w="4855" w:type="dxa"/>
          </w:tcPr>
          <w:p w14:paraId="74246562" w14:textId="2CFAD6B2" w:rsidR="00F23C34" w:rsidRPr="00F23C34" w:rsidRDefault="00F23C34" w:rsidP="00F23C34">
            <w:r w:rsidRPr="00F23C34">
              <w:t xml:space="preserve">Supporting young people vulnerable to radicalisation is embedded within the Safeguarding </w:t>
            </w:r>
            <w:r w:rsidR="00BE5D36">
              <w:t>P</w:t>
            </w:r>
            <w:r w:rsidRPr="00F23C34">
              <w:t xml:space="preserve">olicy and/or a separate </w:t>
            </w:r>
            <w:r w:rsidR="0090145E">
              <w:t>PREVENT</w:t>
            </w:r>
            <w:r w:rsidRPr="00F23C34">
              <w:t xml:space="preserve"> Policy</w:t>
            </w:r>
          </w:p>
        </w:tc>
        <w:tc>
          <w:tcPr>
            <w:tcW w:w="4860" w:type="dxa"/>
          </w:tcPr>
          <w:p w14:paraId="33525EB5" w14:textId="77777777" w:rsidR="00F23C34" w:rsidRPr="00F23C34" w:rsidRDefault="00F23C34" w:rsidP="00F23C34"/>
        </w:tc>
        <w:tc>
          <w:tcPr>
            <w:tcW w:w="2070" w:type="dxa"/>
          </w:tcPr>
          <w:p w14:paraId="7A081433" w14:textId="77777777" w:rsidR="00F23C34" w:rsidRPr="00F23C34" w:rsidRDefault="00F23C34" w:rsidP="00F23C34"/>
        </w:tc>
        <w:tc>
          <w:tcPr>
            <w:tcW w:w="1980" w:type="dxa"/>
          </w:tcPr>
          <w:p w14:paraId="22FBEF8D" w14:textId="77777777" w:rsidR="00F23C34" w:rsidRPr="00F23C34" w:rsidRDefault="00F23C34" w:rsidP="00F23C34"/>
        </w:tc>
      </w:tr>
      <w:tr w:rsidR="00F23C34" w:rsidRPr="00F23C34" w14:paraId="01D88661" w14:textId="77777777" w:rsidTr="004D0264">
        <w:tc>
          <w:tcPr>
            <w:tcW w:w="4855" w:type="dxa"/>
          </w:tcPr>
          <w:p w14:paraId="4602BA7D" w14:textId="79FF3FAB" w:rsidR="00F23C34" w:rsidRPr="00F23C34" w:rsidRDefault="00F23C34" w:rsidP="00F23C34">
            <w:r w:rsidRPr="00F23C34">
              <w:t xml:space="preserve">The </w:t>
            </w:r>
            <w:r w:rsidR="0090145E">
              <w:t>PREVENT</w:t>
            </w:r>
            <w:r w:rsidRPr="00F23C34">
              <w:t xml:space="preserve"> Lead </w:t>
            </w:r>
            <w:r w:rsidR="00226E68" w:rsidRPr="00F23C34">
              <w:t>considers</w:t>
            </w:r>
            <w:r w:rsidRPr="00F23C34">
              <w:t xml:space="preserve"> the policies and procedures of the </w:t>
            </w:r>
            <w:r w:rsidR="00BC484B">
              <w:t>l</w:t>
            </w:r>
            <w:r w:rsidRPr="00F23C34">
              <w:t>ocal</w:t>
            </w:r>
            <w:r w:rsidR="00BC484B">
              <w:t xml:space="preserve"> s</w:t>
            </w:r>
            <w:r w:rsidRPr="00F23C34">
              <w:t xml:space="preserve">afeguarding </w:t>
            </w:r>
            <w:r w:rsidR="00BC484B">
              <w:t>p</w:t>
            </w:r>
            <w:r w:rsidRPr="00F23C34">
              <w:t xml:space="preserve">artners </w:t>
            </w:r>
            <w:r w:rsidR="00BC484B">
              <w:t>- LCSP</w:t>
            </w:r>
          </w:p>
        </w:tc>
        <w:tc>
          <w:tcPr>
            <w:tcW w:w="4860" w:type="dxa"/>
          </w:tcPr>
          <w:p w14:paraId="71B9357C" w14:textId="77777777" w:rsidR="00F23C34" w:rsidRPr="00F23C34" w:rsidRDefault="00F23C34" w:rsidP="00F23C34"/>
        </w:tc>
        <w:tc>
          <w:tcPr>
            <w:tcW w:w="2070" w:type="dxa"/>
          </w:tcPr>
          <w:p w14:paraId="6945BB59" w14:textId="77777777" w:rsidR="00F23C34" w:rsidRPr="00F23C34" w:rsidRDefault="00F23C34" w:rsidP="00F23C34"/>
        </w:tc>
        <w:tc>
          <w:tcPr>
            <w:tcW w:w="1980" w:type="dxa"/>
          </w:tcPr>
          <w:p w14:paraId="3331355A" w14:textId="77777777" w:rsidR="00F23C34" w:rsidRPr="00F23C34" w:rsidRDefault="00F23C34" w:rsidP="00F23C34"/>
        </w:tc>
      </w:tr>
      <w:tr w:rsidR="00F23C34" w:rsidRPr="00F23C34" w14:paraId="653DFDC5" w14:textId="77777777" w:rsidTr="004D0264">
        <w:tc>
          <w:tcPr>
            <w:tcW w:w="4855" w:type="dxa"/>
          </w:tcPr>
          <w:p w14:paraId="6AA7F20E" w14:textId="2504A149" w:rsidR="00F23C34" w:rsidRPr="00F23C34" w:rsidRDefault="00F23C34" w:rsidP="00F23C34">
            <w:r w:rsidRPr="00F23C34">
              <w:t xml:space="preserve">There is a clear awareness of role and responsibilities throughout the organisation regarding </w:t>
            </w:r>
            <w:r w:rsidR="0090145E">
              <w:t>PREVENT</w:t>
            </w:r>
          </w:p>
        </w:tc>
        <w:tc>
          <w:tcPr>
            <w:tcW w:w="4860" w:type="dxa"/>
          </w:tcPr>
          <w:p w14:paraId="47FDF37B" w14:textId="77777777" w:rsidR="00F23C34" w:rsidRPr="00F23C34" w:rsidRDefault="00F23C34" w:rsidP="00F23C34"/>
        </w:tc>
        <w:tc>
          <w:tcPr>
            <w:tcW w:w="2070" w:type="dxa"/>
          </w:tcPr>
          <w:p w14:paraId="747291D8" w14:textId="77777777" w:rsidR="00F23C34" w:rsidRPr="00F23C34" w:rsidRDefault="00F23C34" w:rsidP="00F23C34"/>
        </w:tc>
        <w:tc>
          <w:tcPr>
            <w:tcW w:w="1980" w:type="dxa"/>
          </w:tcPr>
          <w:p w14:paraId="6A51F557" w14:textId="77777777" w:rsidR="00F23C34" w:rsidRPr="00F23C34" w:rsidRDefault="00F23C34" w:rsidP="00F23C34"/>
        </w:tc>
      </w:tr>
      <w:tr w:rsidR="00F23C34" w:rsidRPr="00F23C34" w14:paraId="611AAB95" w14:textId="77777777" w:rsidTr="004D0264">
        <w:tc>
          <w:tcPr>
            <w:tcW w:w="4855" w:type="dxa"/>
          </w:tcPr>
          <w:p w14:paraId="491AE36D" w14:textId="264B5807" w:rsidR="00226E68" w:rsidRPr="00F23C34" w:rsidRDefault="00F23C34" w:rsidP="00F23C34">
            <w:r w:rsidRPr="00F23C34">
              <w:t>SLT</w:t>
            </w:r>
            <w:r w:rsidR="00BB0560">
              <w:t xml:space="preserve">, </w:t>
            </w:r>
            <w:r w:rsidRPr="00F23C34">
              <w:t>Governors</w:t>
            </w:r>
            <w:r w:rsidR="009C7F1F">
              <w:t xml:space="preserve"> and </w:t>
            </w:r>
            <w:r w:rsidR="00BB0560">
              <w:t>Trust Leaders</w:t>
            </w:r>
            <w:r w:rsidR="005D4F70">
              <w:t xml:space="preserve"> </w:t>
            </w:r>
            <w:r w:rsidRPr="00F23C34">
              <w:t>promote British Values throughout their work</w:t>
            </w:r>
          </w:p>
        </w:tc>
        <w:tc>
          <w:tcPr>
            <w:tcW w:w="4860" w:type="dxa"/>
          </w:tcPr>
          <w:p w14:paraId="2793A65D" w14:textId="77777777" w:rsidR="00F23C34" w:rsidRPr="00F23C34" w:rsidRDefault="00F23C34" w:rsidP="00F23C34"/>
        </w:tc>
        <w:tc>
          <w:tcPr>
            <w:tcW w:w="2070" w:type="dxa"/>
          </w:tcPr>
          <w:p w14:paraId="6662087D" w14:textId="77777777" w:rsidR="00F23C34" w:rsidRPr="00F23C34" w:rsidRDefault="00F23C34" w:rsidP="00F23C34"/>
        </w:tc>
        <w:tc>
          <w:tcPr>
            <w:tcW w:w="1980" w:type="dxa"/>
          </w:tcPr>
          <w:p w14:paraId="59EC80EB" w14:textId="77777777" w:rsidR="00F23C34" w:rsidRPr="00F23C34" w:rsidRDefault="00F23C34" w:rsidP="00F23C34"/>
        </w:tc>
      </w:tr>
      <w:tr w:rsidR="005B283F" w:rsidRPr="00F23C34" w14:paraId="4591C51E" w14:textId="77777777" w:rsidTr="004D0264">
        <w:tc>
          <w:tcPr>
            <w:tcW w:w="4855" w:type="dxa"/>
          </w:tcPr>
          <w:p w14:paraId="5CF102F3" w14:textId="53F69F2D" w:rsidR="005B283F" w:rsidRPr="00F23C34" w:rsidRDefault="005B283F" w:rsidP="00F23C34">
            <w:r>
              <w:t>The PREVENT Lead has completed</w:t>
            </w:r>
            <w:r w:rsidR="006378AF">
              <w:t xml:space="preserve"> used the DfE </w:t>
            </w:r>
            <w:r w:rsidR="00761654">
              <w:t xml:space="preserve">self-assessment </w:t>
            </w:r>
            <w:r w:rsidR="006378AF">
              <w:t xml:space="preserve">tool </w:t>
            </w:r>
            <w:r w:rsidR="004A13E6">
              <w:t xml:space="preserve">to review </w:t>
            </w:r>
            <w:r w:rsidR="004A13E6" w:rsidRPr="004A13E6">
              <w:t>how well embedded their existing policies and practices are</w:t>
            </w:r>
          </w:p>
        </w:tc>
        <w:tc>
          <w:tcPr>
            <w:tcW w:w="4860" w:type="dxa"/>
          </w:tcPr>
          <w:p w14:paraId="250B1CC4" w14:textId="77777777" w:rsidR="005B283F" w:rsidRPr="00F23C34" w:rsidRDefault="005B283F" w:rsidP="00F23C34"/>
        </w:tc>
        <w:tc>
          <w:tcPr>
            <w:tcW w:w="2070" w:type="dxa"/>
          </w:tcPr>
          <w:p w14:paraId="365B41AD" w14:textId="77777777" w:rsidR="005B283F" w:rsidRPr="00F23C34" w:rsidRDefault="005B283F" w:rsidP="00F23C34"/>
        </w:tc>
        <w:tc>
          <w:tcPr>
            <w:tcW w:w="1980" w:type="dxa"/>
          </w:tcPr>
          <w:p w14:paraId="65F365B5" w14:textId="77777777" w:rsidR="005B283F" w:rsidRPr="00F23C34" w:rsidRDefault="005B283F" w:rsidP="00F23C34"/>
        </w:tc>
      </w:tr>
      <w:tr w:rsidR="00BC484B" w:rsidRPr="00F23C34" w14:paraId="654C45A3" w14:textId="77777777" w:rsidTr="004D0264">
        <w:tc>
          <w:tcPr>
            <w:tcW w:w="4855" w:type="dxa"/>
          </w:tcPr>
          <w:p w14:paraId="1B83B11F" w14:textId="1735938B" w:rsidR="00BC484B" w:rsidRDefault="00BC484B" w:rsidP="00F23C34">
            <w:r>
              <w:t xml:space="preserve">The </w:t>
            </w:r>
            <w:r w:rsidR="00A51699">
              <w:t xml:space="preserve">SEF and School/Academy Development Plan notes the </w:t>
            </w:r>
            <w:r w:rsidR="00AC4329">
              <w:t>status and plans for PREVENT</w:t>
            </w:r>
          </w:p>
        </w:tc>
        <w:tc>
          <w:tcPr>
            <w:tcW w:w="4860" w:type="dxa"/>
          </w:tcPr>
          <w:p w14:paraId="262EBF5D" w14:textId="77777777" w:rsidR="00BC484B" w:rsidRPr="00F23C34" w:rsidRDefault="00BC484B" w:rsidP="00F23C34"/>
        </w:tc>
        <w:tc>
          <w:tcPr>
            <w:tcW w:w="2070" w:type="dxa"/>
          </w:tcPr>
          <w:p w14:paraId="6A70291A" w14:textId="77777777" w:rsidR="00BC484B" w:rsidRPr="00F23C34" w:rsidRDefault="00BC484B" w:rsidP="00F23C34"/>
        </w:tc>
        <w:tc>
          <w:tcPr>
            <w:tcW w:w="1980" w:type="dxa"/>
          </w:tcPr>
          <w:p w14:paraId="6BE5ADDF" w14:textId="77777777" w:rsidR="00BC484B" w:rsidRPr="00F23C34" w:rsidRDefault="00BC484B" w:rsidP="00F23C34"/>
        </w:tc>
      </w:tr>
      <w:tr w:rsidR="00F23C34" w:rsidRPr="00F23C34" w14:paraId="370107C9" w14:textId="77777777" w:rsidTr="00935EC9">
        <w:tc>
          <w:tcPr>
            <w:tcW w:w="13765" w:type="dxa"/>
            <w:gridSpan w:val="4"/>
            <w:shd w:val="clear" w:color="auto" w:fill="9CC2E5" w:themeFill="accent1" w:themeFillTint="99"/>
          </w:tcPr>
          <w:p w14:paraId="631AB8DE" w14:textId="10357FE8" w:rsidR="00F23C34" w:rsidRDefault="00F23C34" w:rsidP="00F23C34">
            <w:r w:rsidRPr="00F23C34">
              <w:lastRenderedPageBreak/>
              <w:t xml:space="preserve">TRAINING – staff and governors are adequately trained on </w:t>
            </w:r>
            <w:r w:rsidR="0090145E">
              <w:t>PREVENT</w:t>
            </w:r>
            <w:r w:rsidRPr="00F23C34">
              <w:t xml:space="preserve"> Duty</w:t>
            </w:r>
          </w:p>
          <w:p w14:paraId="573568C4" w14:textId="16B2C420" w:rsidR="00935EC9" w:rsidRPr="00F23C34" w:rsidRDefault="00935EC9" w:rsidP="00F23C34"/>
        </w:tc>
      </w:tr>
      <w:tr w:rsidR="00F23C34" w:rsidRPr="00F23C34" w14:paraId="7A7B85C4" w14:textId="77777777" w:rsidTr="00935EC9">
        <w:tc>
          <w:tcPr>
            <w:tcW w:w="4855" w:type="dxa"/>
            <w:shd w:val="clear" w:color="auto" w:fill="FFFFFF" w:themeFill="background1"/>
          </w:tcPr>
          <w:p w14:paraId="7AD6533E" w14:textId="77777777" w:rsidR="00F23C34" w:rsidRDefault="00AF4C9F" w:rsidP="00AF4C9F">
            <w:pPr>
              <w:tabs>
                <w:tab w:val="center" w:pos="2319"/>
                <w:tab w:val="right" w:pos="4639"/>
              </w:tabs>
            </w:pPr>
            <w:r>
              <w:tab/>
            </w:r>
            <w:r w:rsidR="00F23C34" w:rsidRPr="00F23C34">
              <w:t>Indicator</w:t>
            </w:r>
            <w:r>
              <w:tab/>
            </w:r>
          </w:p>
          <w:p w14:paraId="3D948907" w14:textId="7692DA87" w:rsidR="00AF4C9F" w:rsidRPr="00F23C34" w:rsidRDefault="00AF4C9F" w:rsidP="00AF4C9F">
            <w:pPr>
              <w:tabs>
                <w:tab w:val="center" w:pos="2319"/>
                <w:tab w:val="right" w:pos="4639"/>
              </w:tabs>
            </w:pPr>
          </w:p>
        </w:tc>
        <w:tc>
          <w:tcPr>
            <w:tcW w:w="4860" w:type="dxa"/>
            <w:shd w:val="clear" w:color="auto" w:fill="FFFFFF" w:themeFill="background1"/>
          </w:tcPr>
          <w:p w14:paraId="0659B7AD" w14:textId="2C463BA3" w:rsidR="00F23C34" w:rsidRPr="00F23C34" w:rsidRDefault="00F23C34" w:rsidP="00AF4C9F">
            <w:pPr>
              <w:jc w:val="center"/>
            </w:pPr>
            <w:r w:rsidRPr="00F23C34">
              <w:t>Evidence</w:t>
            </w:r>
          </w:p>
        </w:tc>
        <w:tc>
          <w:tcPr>
            <w:tcW w:w="2070" w:type="dxa"/>
            <w:shd w:val="clear" w:color="auto" w:fill="FFFFFF" w:themeFill="background1"/>
          </w:tcPr>
          <w:p w14:paraId="3AE80B11" w14:textId="77777777" w:rsidR="00F23C34" w:rsidRPr="00F23C34" w:rsidRDefault="00F23C34" w:rsidP="00935EC9">
            <w:pPr>
              <w:jc w:val="center"/>
            </w:pPr>
            <w:r w:rsidRPr="00F23C34">
              <w:t>Risk Rating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72FD4CE3" w14:textId="77777777" w:rsidR="00F23C34" w:rsidRPr="00F23C34" w:rsidRDefault="00F23C34" w:rsidP="00935EC9">
            <w:pPr>
              <w:jc w:val="center"/>
            </w:pPr>
            <w:r w:rsidRPr="00F23C34">
              <w:t>Action Required</w:t>
            </w:r>
          </w:p>
        </w:tc>
      </w:tr>
      <w:tr w:rsidR="00F23C34" w:rsidRPr="00F23C34" w14:paraId="15322DFF" w14:textId="77777777" w:rsidTr="004D0264">
        <w:tc>
          <w:tcPr>
            <w:tcW w:w="4855" w:type="dxa"/>
          </w:tcPr>
          <w:p w14:paraId="6FC7A038" w14:textId="135D79C4" w:rsidR="00F23C34" w:rsidRPr="00F23C34" w:rsidRDefault="00F23C34" w:rsidP="00F23C34">
            <w:r w:rsidRPr="00F23C34">
              <w:t xml:space="preserve">A training plan is in place to </w:t>
            </w:r>
            <w:r w:rsidR="00717EB1">
              <w:t>r</w:t>
            </w:r>
            <w:r w:rsidRPr="00F23C34">
              <w:t xml:space="preserve">aise </w:t>
            </w:r>
            <w:r w:rsidR="00717EB1">
              <w:t>a</w:t>
            </w:r>
            <w:r w:rsidRPr="00F23C34">
              <w:t xml:space="preserve">wareness of </w:t>
            </w:r>
            <w:r w:rsidR="0090145E">
              <w:t>PREVENT</w:t>
            </w:r>
            <w:r w:rsidRPr="00F23C34">
              <w:t xml:space="preserve"> so that all staff and governors understand the risk of radicalisation and extremism, and how to recognise and refer children who might be vulnerable</w:t>
            </w:r>
          </w:p>
        </w:tc>
        <w:tc>
          <w:tcPr>
            <w:tcW w:w="4860" w:type="dxa"/>
          </w:tcPr>
          <w:p w14:paraId="585A7376" w14:textId="77777777" w:rsidR="00F23C34" w:rsidRPr="00F23C34" w:rsidRDefault="00F23C34" w:rsidP="00F23C34"/>
        </w:tc>
        <w:tc>
          <w:tcPr>
            <w:tcW w:w="2070" w:type="dxa"/>
          </w:tcPr>
          <w:p w14:paraId="210C5E18" w14:textId="77777777" w:rsidR="00F23C34" w:rsidRPr="00F23C34" w:rsidRDefault="00F23C34" w:rsidP="00F23C34"/>
        </w:tc>
        <w:tc>
          <w:tcPr>
            <w:tcW w:w="1980" w:type="dxa"/>
          </w:tcPr>
          <w:p w14:paraId="72828B98" w14:textId="77777777" w:rsidR="00F23C34" w:rsidRPr="00F23C34" w:rsidRDefault="00F23C34" w:rsidP="00F23C34"/>
        </w:tc>
      </w:tr>
      <w:tr w:rsidR="00F23C34" w:rsidRPr="00F23C34" w14:paraId="066E1ADD" w14:textId="77777777" w:rsidTr="004D0264">
        <w:tc>
          <w:tcPr>
            <w:tcW w:w="4855" w:type="dxa"/>
          </w:tcPr>
          <w:p w14:paraId="411B5924" w14:textId="366212A6" w:rsidR="00F23C34" w:rsidRPr="00F23C34" w:rsidRDefault="00F23C34" w:rsidP="00F23C34">
            <w:r w:rsidRPr="00F23C34">
              <w:t xml:space="preserve">The strategic lead for </w:t>
            </w:r>
            <w:r w:rsidR="0090145E">
              <w:t>PREVENT</w:t>
            </w:r>
            <w:r w:rsidRPr="00F23C34">
              <w:t xml:space="preserve"> has access to additional training to help them to fulfil their role</w:t>
            </w:r>
          </w:p>
        </w:tc>
        <w:tc>
          <w:tcPr>
            <w:tcW w:w="4860" w:type="dxa"/>
          </w:tcPr>
          <w:p w14:paraId="51379B2F" w14:textId="77777777" w:rsidR="00F23C34" w:rsidRPr="00F23C34" w:rsidRDefault="00F23C34" w:rsidP="00F23C34"/>
        </w:tc>
        <w:tc>
          <w:tcPr>
            <w:tcW w:w="2070" w:type="dxa"/>
          </w:tcPr>
          <w:p w14:paraId="5D49437F" w14:textId="77777777" w:rsidR="00F23C34" w:rsidRPr="00F23C34" w:rsidRDefault="00F23C34" w:rsidP="00F23C34"/>
        </w:tc>
        <w:tc>
          <w:tcPr>
            <w:tcW w:w="1980" w:type="dxa"/>
          </w:tcPr>
          <w:p w14:paraId="5EAF4EC7" w14:textId="77777777" w:rsidR="00F23C34" w:rsidRPr="00F23C34" w:rsidRDefault="00F23C34" w:rsidP="00F23C34"/>
        </w:tc>
      </w:tr>
      <w:tr w:rsidR="00F23C34" w:rsidRPr="00F23C34" w14:paraId="03B33C9C" w14:textId="77777777" w:rsidTr="004D0264">
        <w:tc>
          <w:tcPr>
            <w:tcW w:w="4855" w:type="dxa"/>
          </w:tcPr>
          <w:p w14:paraId="49093958" w14:textId="64DC08D2" w:rsidR="00F23C34" w:rsidRPr="00F23C34" w:rsidRDefault="00F23C34" w:rsidP="00F23C34">
            <w:r w:rsidRPr="00F23C34">
              <w:t>All staff have completed</w:t>
            </w:r>
            <w:r w:rsidR="005B3586">
              <w:t xml:space="preserve"> discrete</w:t>
            </w:r>
            <w:r w:rsidRPr="00F23C34">
              <w:t xml:space="preserve"> </w:t>
            </w:r>
            <w:r w:rsidR="0090145E">
              <w:t>PREVENT</w:t>
            </w:r>
            <w:r w:rsidRPr="00F23C34">
              <w:t xml:space="preserve"> training </w:t>
            </w:r>
          </w:p>
        </w:tc>
        <w:tc>
          <w:tcPr>
            <w:tcW w:w="4860" w:type="dxa"/>
          </w:tcPr>
          <w:p w14:paraId="01E9D37E" w14:textId="77777777" w:rsidR="00F23C34" w:rsidRPr="00F23C34" w:rsidRDefault="00F23C34" w:rsidP="00F23C34"/>
        </w:tc>
        <w:tc>
          <w:tcPr>
            <w:tcW w:w="2070" w:type="dxa"/>
          </w:tcPr>
          <w:p w14:paraId="0263392E" w14:textId="77777777" w:rsidR="00F23C34" w:rsidRPr="00F23C34" w:rsidRDefault="00F23C34" w:rsidP="00F23C34"/>
        </w:tc>
        <w:tc>
          <w:tcPr>
            <w:tcW w:w="1980" w:type="dxa"/>
          </w:tcPr>
          <w:p w14:paraId="33955A3A" w14:textId="77777777" w:rsidR="00F23C34" w:rsidRPr="00F23C34" w:rsidRDefault="00F23C34" w:rsidP="00F23C34"/>
        </w:tc>
      </w:tr>
      <w:tr w:rsidR="00F23C34" w:rsidRPr="00F23C34" w14:paraId="7306DC85" w14:textId="77777777" w:rsidTr="004D0264">
        <w:tc>
          <w:tcPr>
            <w:tcW w:w="4855" w:type="dxa"/>
          </w:tcPr>
          <w:p w14:paraId="0E28DAD5" w14:textId="6B7229B1" w:rsidR="00F23C34" w:rsidRPr="00F23C34" w:rsidRDefault="00F23C34" w:rsidP="00F23C34">
            <w:r w:rsidRPr="00F23C34">
              <w:t xml:space="preserve">Appropriate guidance and literature </w:t>
            </w:r>
            <w:r w:rsidR="0090145E" w:rsidRPr="00F23C34">
              <w:t>are</w:t>
            </w:r>
            <w:r w:rsidRPr="00F23C34">
              <w:t xml:space="preserve"> available for staff regarding the </w:t>
            </w:r>
            <w:r w:rsidR="0090145E">
              <w:t>PREVENT</w:t>
            </w:r>
            <w:r w:rsidRPr="00F23C34">
              <w:t xml:space="preserve"> duty</w:t>
            </w:r>
          </w:p>
        </w:tc>
        <w:tc>
          <w:tcPr>
            <w:tcW w:w="4860" w:type="dxa"/>
          </w:tcPr>
          <w:p w14:paraId="505FCCA8" w14:textId="77777777" w:rsidR="00F23C34" w:rsidRPr="00F23C34" w:rsidRDefault="00F23C34" w:rsidP="00F23C34"/>
        </w:tc>
        <w:tc>
          <w:tcPr>
            <w:tcW w:w="2070" w:type="dxa"/>
          </w:tcPr>
          <w:p w14:paraId="063B3A7A" w14:textId="77777777" w:rsidR="00F23C34" w:rsidRPr="00F23C34" w:rsidRDefault="00F23C34" w:rsidP="00F23C34"/>
        </w:tc>
        <w:tc>
          <w:tcPr>
            <w:tcW w:w="1980" w:type="dxa"/>
          </w:tcPr>
          <w:p w14:paraId="293F0DF3" w14:textId="77777777" w:rsidR="00F23C34" w:rsidRPr="00F23C34" w:rsidRDefault="00F23C34" w:rsidP="00F23C34"/>
        </w:tc>
      </w:tr>
      <w:tr w:rsidR="00F23C34" w:rsidRPr="00F23C34" w14:paraId="5CEC8110" w14:textId="77777777" w:rsidTr="0048229E">
        <w:tc>
          <w:tcPr>
            <w:tcW w:w="13765" w:type="dxa"/>
            <w:gridSpan w:val="4"/>
            <w:shd w:val="clear" w:color="auto" w:fill="9CC2E5" w:themeFill="accent1" w:themeFillTint="99"/>
          </w:tcPr>
          <w:p w14:paraId="1F90FE13" w14:textId="337CC056" w:rsidR="00F23C34" w:rsidRDefault="00F23C34" w:rsidP="00F23C34">
            <w:r w:rsidRPr="00F23C34">
              <w:t xml:space="preserve">PRACTICE AND PROCEDURE – risks around </w:t>
            </w:r>
            <w:r w:rsidR="0090145E">
              <w:t xml:space="preserve">radicalisation </w:t>
            </w:r>
            <w:r w:rsidR="004C12CA">
              <w:t xml:space="preserve">and </w:t>
            </w:r>
            <w:r w:rsidRPr="00F23C34">
              <w:t xml:space="preserve">extremism </w:t>
            </w:r>
            <w:r w:rsidR="005B3586" w:rsidRPr="00F23C34">
              <w:t>are</w:t>
            </w:r>
            <w:r w:rsidRPr="00F23C34">
              <w:t xml:space="preserve"> understood and appropriate referral processes are in </w:t>
            </w:r>
            <w:proofErr w:type="gramStart"/>
            <w:r w:rsidR="005B283F" w:rsidRPr="00F23C34">
              <w:t>place</w:t>
            </w:r>
            <w:proofErr w:type="gramEnd"/>
          </w:p>
          <w:p w14:paraId="6946D1D3" w14:textId="17E74D66" w:rsidR="0048229E" w:rsidRPr="00F23C34" w:rsidRDefault="0048229E" w:rsidP="00F23C34"/>
        </w:tc>
      </w:tr>
      <w:tr w:rsidR="00F23C34" w:rsidRPr="00F23C34" w14:paraId="79A90A1C" w14:textId="77777777" w:rsidTr="004D0264">
        <w:tc>
          <w:tcPr>
            <w:tcW w:w="4855" w:type="dxa"/>
          </w:tcPr>
          <w:p w14:paraId="782034DA" w14:textId="77777777" w:rsidR="00F23C34" w:rsidRPr="00F23C34" w:rsidRDefault="00F23C34" w:rsidP="00935EC9">
            <w:pPr>
              <w:jc w:val="center"/>
            </w:pPr>
            <w:r w:rsidRPr="00F23C34">
              <w:t>Indicator</w:t>
            </w:r>
          </w:p>
        </w:tc>
        <w:tc>
          <w:tcPr>
            <w:tcW w:w="4860" w:type="dxa"/>
          </w:tcPr>
          <w:p w14:paraId="5A674E5A" w14:textId="77777777" w:rsidR="00F23C34" w:rsidRDefault="00F23C34" w:rsidP="00935EC9">
            <w:pPr>
              <w:jc w:val="center"/>
            </w:pPr>
            <w:r w:rsidRPr="00F23C34">
              <w:t>Evidence</w:t>
            </w:r>
          </w:p>
          <w:p w14:paraId="06987A92" w14:textId="0B446870" w:rsidR="00AF4C9F" w:rsidRPr="00F23C34" w:rsidRDefault="00AF4C9F" w:rsidP="00935EC9">
            <w:pPr>
              <w:jc w:val="center"/>
            </w:pPr>
          </w:p>
        </w:tc>
        <w:tc>
          <w:tcPr>
            <w:tcW w:w="2070" w:type="dxa"/>
          </w:tcPr>
          <w:p w14:paraId="22A2F1C2" w14:textId="77777777" w:rsidR="00F23C34" w:rsidRPr="00F23C34" w:rsidRDefault="00F23C34" w:rsidP="00935EC9">
            <w:pPr>
              <w:jc w:val="center"/>
            </w:pPr>
            <w:r w:rsidRPr="00F23C34">
              <w:t>Risk Rating</w:t>
            </w:r>
          </w:p>
        </w:tc>
        <w:tc>
          <w:tcPr>
            <w:tcW w:w="1980" w:type="dxa"/>
          </w:tcPr>
          <w:p w14:paraId="60215439" w14:textId="77777777" w:rsidR="00F23C34" w:rsidRPr="00F23C34" w:rsidRDefault="00F23C34" w:rsidP="00935EC9">
            <w:pPr>
              <w:jc w:val="center"/>
            </w:pPr>
            <w:r w:rsidRPr="00F23C34">
              <w:t>Action Required</w:t>
            </w:r>
          </w:p>
        </w:tc>
      </w:tr>
      <w:tr w:rsidR="00F23C34" w:rsidRPr="00F23C34" w14:paraId="5E37C51A" w14:textId="77777777" w:rsidTr="004D0264">
        <w:tc>
          <w:tcPr>
            <w:tcW w:w="4855" w:type="dxa"/>
          </w:tcPr>
          <w:p w14:paraId="64F5DA97" w14:textId="43CFB11B" w:rsidR="00F23C34" w:rsidRPr="00F23C34" w:rsidRDefault="00F23C34" w:rsidP="00F23C34">
            <w:r w:rsidRPr="00F23C34">
              <w:t xml:space="preserve">All staff show </w:t>
            </w:r>
            <w:r w:rsidR="00FC6174">
              <w:t xml:space="preserve">an </w:t>
            </w:r>
            <w:r w:rsidRPr="00F23C34">
              <w:t xml:space="preserve">understanding of risks </w:t>
            </w:r>
            <w:r w:rsidR="00FC6174">
              <w:t xml:space="preserve">that may </w:t>
            </w:r>
            <w:r w:rsidRPr="00F23C34">
              <w:t>affect</w:t>
            </w:r>
            <w:r w:rsidR="00FC6174">
              <w:t xml:space="preserve"> </w:t>
            </w:r>
            <w:r w:rsidRPr="00F23C34">
              <w:t>children and how to support individual children who may be at risk.</w:t>
            </w:r>
          </w:p>
        </w:tc>
        <w:tc>
          <w:tcPr>
            <w:tcW w:w="4860" w:type="dxa"/>
          </w:tcPr>
          <w:p w14:paraId="46CFCDF6" w14:textId="77777777" w:rsidR="00F23C34" w:rsidRPr="00F23C34" w:rsidRDefault="00F23C34" w:rsidP="00F23C34"/>
        </w:tc>
        <w:tc>
          <w:tcPr>
            <w:tcW w:w="2070" w:type="dxa"/>
          </w:tcPr>
          <w:p w14:paraId="2D1D40EB" w14:textId="77777777" w:rsidR="00F23C34" w:rsidRPr="00F23C34" w:rsidRDefault="00F23C34" w:rsidP="00F23C34"/>
        </w:tc>
        <w:tc>
          <w:tcPr>
            <w:tcW w:w="1980" w:type="dxa"/>
          </w:tcPr>
          <w:p w14:paraId="56503616" w14:textId="77777777" w:rsidR="00F23C34" w:rsidRPr="00F23C34" w:rsidRDefault="00F23C34" w:rsidP="00F23C34"/>
        </w:tc>
      </w:tr>
      <w:tr w:rsidR="00F23C34" w:rsidRPr="00F23C34" w14:paraId="095D1E9C" w14:textId="77777777" w:rsidTr="004D0264">
        <w:tc>
          <w:tcPr>
            <w:tcW w:w="4855" w:type="dxa"/>
          </w:tcPr>
          <w:p w14:paraId="1C9171DB" w14:textId="15211E9A" w:rsidR="00F23C34" w:rsidRPr="00F23C34" w:rsidRDefault="00F23C34" w:rsidP="00F23C34">
            <w:r w:rsidRPr="00F23C34">
              <w:t xml:space="preserve">Staff, </w:t>
            </w:r>
            <w:r w:rsidR="000E55D5">
              <w:t>s</w:t>
            </w:r>
            <w:r w:rsidR="000E55D5" w:rsidRPr="00F23C34">
              <w:t>tudents,</w:t>
            </w:r>
            <w:r w:rsidRPr="00F23C34">
              <w:t xml:space="preserve"> and </w:t>
            </w:r>
            <w:r w:rsidR="004C12CA">
              <w:t>pa</w:t>
            </w:r>
            <w:r w:rsidRPr="00F23C34">
              <w:t xml:space="preserve">rents are aware of who the </w:t>
            </w:r>
            <w:r w:rsidR="0090145E">
              <w:t>PREVENT</w:t>
            </w:r>
            <w:r w:rsidRPr="00F23C34">
              <w:t xml:space="preserve"> Lead is.</w:t>
            </w:r>
          </w:p>
        </w:tc>
        <w:tc>
          <w:tcPr>
            <w:tcW w:w="4860" w:type="dxa"/>
          </w:tcPr>
          <w:p w14:paraId="12C99842" w14:textId="77777777" w:rsidR="00F23C34" w:rsidRPr="00F23C34" w:rsidRDefault="00F23C34" w:rsidP="00F23C34"/>
        </w:tc>
        <w:tc>
          <w:tcPr>
            <w:tcW w:w="2070" w:type="dxa"/>
          </w:tcPr>
          <w:p w14:paraId="5AE2CA35" w14:textId="77777777" w:rsidR="00F23C34" w:rsidRPr="00F23C34" w:rsidRDefault="00F23C34" w:rsidP="00F23C34"/>
        </w:tc>
        <w:tc>
          <w:tcPr>
            <w:tcW w:w="1980" w:type="dxa"/>
          </w:tcPr>
          <w:p w14:paraId="49742FDD" w14:textId="77777777" w:rsidR="00F23C34" w:rsidRPr="00F23C34" w:rsidRDefault="00F23C34" w:rsidP="00F23C34"/>
        </w:tc>
      </w:tr>
      <w:tr w:rsidR="00F23C34" w:rsidRPr="00F23C34" w14:paraId="1446B54F" w14:textId="77777777" w:rsidTr="004D0264">
        <w:tc>
          <w:tcPr>
            <w:tcW w:w="4855" w:type="dxa"/>
          </w:tcPr>
          <w:p w14:paraId="546BFAAC" w14:textId="647CE027" w:rsidR="00F23C34" w:rsidRPr="00F23C34" w:rsidRDefault="00F23C34" w:rsidP="00F23C34">
            <w:r w:rsidRPr="00F23C34">
              <w:t xml:space="preserve">The </w:t>
            </w:r>
            <w:r w:rsidR="0090145E">
              <w:t>PREVENT</w:t>
            </w:r>
            <w:r w:rsidRPr="00F23C34">
              <w:t xml:space="preserve"> Lead understand</w:t>
            </w:r>
            <w:r w:rsidR="004C12CA">
              <w:t>s</w:t>
            </w:r>
            <w:r w:rsidRPr="00F23C34">
              <w:t xml:space="preserve"> when it is appropriate to make a referral</w:t>
            </w:r>
            <w:r w:rsidR="001101A2">
              <w:t xml:space="preserve"> </w:t>
            </w:r>
            <w:r w:rsidR="005E2BD4">
              <w:t>for a child, young person, adult learner or</w:t>
            </w:r>
            <w:r w:rsidR="000746A5">
              <w:t xml:space="preserve"> for </w:t>
            </w:r>
            <w:r w:rsidR="005E2BD4">
              <w:t>a member of staff</w:t>
            </w:r>
          </w:p>
        </w:tc>
        <w:tc>
          <w:tcPr>
            <w:tcW w:w="4860" w:type="dxa"/>
          </w:tcPr>
          <w:p w14:paraId="4D7C7492" w14:textId="77777777" w:rsidR="00F23C34" w:rsidRPr="00F23C34" w:rsidRDefault="00F23C34" w:rsidP="00F23C34"/>
        </w:tc>
        <w:tc>
          <w:tcPr>
            <w:tcW w:w="2070" w:type="dxa"/>
          </w:tcPr>
          <w:p w14:paraId="3A90E7F2" w14:textId="77777777" w:rsidR="00F23C34" w:rsidRPr="00F23C34" w:rsidRDefault="00F23C34" w:rsidP="00F23C34"/>
        </w:tc>
        <w:tc>
          <w:tcPr>
            <w:tcW w:w="1980" w:type="dxa"/>
          </w:tcPr>
          <w:p w14:paraId="641EFFC3" w14:textId="77777777" w:rsidR="00F23C34" w:rsidRPr="00F23C34" w:rsidRDefault="00F23C34" w:rsidP="00F23C34"/>
        </w:tc>
      </w:tr>
      <w:tr w:rsidR="00714F36" w:rsidRPr="00F23C34" w14:paraId="0580F0E9" w14:textId="77777777" w:rsidTr="004D0264">
        <w:tc>
          <w:tcPr>
            <w:tcW w:w="4855" w:type="dxa"/>
          </w:tcPr>
          <w:p w14:paraId="3094C42A" w14:textId="766EF88F" w:rsidR="00714F36" w:rsidRPr="00F23C34" w:rsidRDefault="002A66CF" w:rsidP="00F23C34">
            <w:r>
              <w:t xml:space="preserve">Individual </w:t>
            </w:r>
            <w:r w:rsidR="00452943">
              <w:t>s</w:t>
            </w:r>
            <w:r>
              <w:t xml:space="preserve">afety </w:t>
            </w:r>
            <w:r w:rsidR="00452943">
              <w:t>p</w:t>
            </w:r>
            <w:r>
              <w:t xml:space="preserve">lans </w:t>
            </w:r>
            <w:r w:rsidR="00324273">
              <w:t xml:space="preserve">(risk assessments) </w:t>
            </w:r>
            <w:r>
              <w:t>are in place for pupils</w:t>
            </w:r>
            <w:r w:rsidR="00324273">
              <w:t xml:space="preserve"> identified </w:t>
            </w:r>
            <w:r w:rsidR="00452943">
              <w:t>at ris</w:t>
            </w:r>
            <w:r w:rsidR="00AF4C9F">
              <w:t>k by the PREVENT Lead</w:t>
            </w:r>
          </w:p>
        </w:tc>
        <w:tc>
          <w:tcPr>
            <w:tcW w:w="4860" w:type="dxa"/>
          </w:tcPr>
          <w:p w14:paraId="56364743" w14:textId="77777777" w:rsidR="00714F36" w:rsidRPr="00F23C34" w:rsidRDefault="00714F36" w:rsidP="00F23C34"/>
        </w:tc>
        <w:tc>
          <w:tcPr>
            <w:tcW w:w="2070" w:type="dxa"/>
          </w:tcPr>
          <w:p w14:paraId="7B58C488" w14:textId="77777777" w:rsidR="00714F36" w:rsidRPr="00F23C34" w:rsidRDefault="00714F36" w:rsidP="00F23C34"/>
        </w:tc>
        <w:tc>
          <w:tcPr>
            <w:tcW w:w="1980" w:type="dxa"/>
          </w:tcPr>
          <w:p w14:paraId="17788487" w14:textId="77777777" w:rsidR="00714F36" w:rsidRPr="00F23C34" w:rsidRDefault="00714F36" w:rsidP="00F23C34"/>
        </w:tc>
      </w:tr>
      <w:tr w:rsidR="00F23C34" w:rsidRPr="00F23C34" w14:paraId="5082A08F" w14:textId="77777777" w:rsidTr="004D0264">
        <w:tc>
          <w:tcPr>
            <w:tcW w:w="4855" w:type="dxa"/>
          </w:tcPr>
          <w:p w14:paraId="77A64687" w14:textId="3B09BBFC" w:rsidR="00F23C34" w:rsidRPr="00F23C34" w:rsidRDefault="00F23C34" w:rsidP="00F23C34">
            <w:r w:rsidRPr="00F23C34">
              <w:t xml:space="preserve">The </w:t>
            </w:r>
            <w:r w:rsidR="0090145E">
              <w:t>PREVENT</w:t>
            </w:r>
            <w:r w:rsidRPr="00F23C34">
              <w:t xml:space="preserve"> Lead manages referrals for which there is an audit trail.</w:t>
            </w:r>
          </w:p>
        </w:tc>
        <w:tc>
          <w:tcPr>
            <w:tcW w:w="4860" w:type="dxa"/>
          </w:tcPr>
          <w:p w14:paraId="40EC970A" w14:textId="77777777" w:rsidR="00F23C34" w:rsidRPr="00F23C34" w:rsidRDefault="00F23C34" w:rsidP="00F23C34"/>
        </w:tc>
        <w:tc>
          <w:tcPr>
            <w:tcW w:w="2070" w:type="dxa"/>
          </w:tcPr>
          <w:p w14:paraId="4F6B26FC" w14:textId="77777777" w:rsidR="00F23C34" w:rsidRPr="00F23C34" w:rsidRDefault="00F23C34" w:rsidP="00F23C34"/>
        </w:tc>
        <w:tc>
          <w:tcPr>
            <w:tcW w:w="1980" w:type="dxa"/>
          </w:tcPr>
          <w:p w14:paraId="5CC36EE8" w14:textId="77777777" w:rsidR="00F23C34" w:rsidRPr="00F23C34" w:rsidRDefault="00F23C34" w:rsidP="00F23C34"/>
        </w:tc>
      </w:tr>
      <w:tr w:rsidR="00F23C34" w:rsidRPr="00F23C34" w14:paraId="49673C2C" w14:textId="77777777" w:rsidTr="004D0264">
        <w:tc>
          <w:tcPr>
            <w:tcW w:w="4855" w:type="dxa"/>
          </w:tcPr>
          <w:p w14:paraId="3E566577" w14:textId="6E82044C" w:rsidR="00F23C34" w:rsidRPr="00F23C34" w:rsidRDefault="00F23C34" w:rsidP="00F23C34">
            <w:r w:rsidRPr="00F23C34">
              <w:t>A process is in place for “lessons learnt”</w:t>
            </w:r>
            <w:r w:rsidR="00F21782">
              <w:t xml:space="preserve"> </w:t>
            </w:r>
          </w:p>
        </w:tc>
        <w:tc>
          <w:tcPr>
            <w:tcW w:w="4860" w:type="dxa"/>
          </w:tcPr>
          <w:p w14:paraId="137F6611" w14:textId="77777777" w:rsidR="00F23C34" w:rsidRPr="00F23C34" w:rsidRDefault="00F23C34" w:rsidP="00F23C34"/>
        </w:tc>
        <w:tc>
          <w:tcPr>
            <w:tcW w:w="2070" w:type="dxa"/>
          </w:tcPr>
          <w:p w14:paraId="197B59DE" w14:textId="77777777" w:rsidR="00F23C34" w:rsidRPr="00F23C34" w:rsidRDefault="00F23C34" w:rsidP="00F23C34"/>
        </w:tc>
        <w:tc>
          <w:tcPr>
            <w:tcW w:w="1980" w:type="dxa"/>
          </w:tcPr>
          <w:p w14:paraId="2C335C43" w14:textId="77777777" w:rsidR="00F23C34" w:rsidRPr="00F23C34" w:rsidRDefault="00F23C34" w:rsidP="00F23C34"/>
        </w:tc>
      </w:tr>
      <w:tr w:rsidR="00F23C34" w:rsidRPr="00F23C34" w14:paraId="5B820F71" w14:textId="77777777" w:rsidTr="004D0264">
        <w:tc>
          <w:tcPr>
            <w:tcW w:w="4855" w:type="dxa"/>
          </w:tcPr>
          <w:p w14:paraId="187C48EA" w14:textId="3EBADFC4" w:rsidR="00F23C34" w:rsidRPr="00F23C34" w:rsidRDefault="00F23C34" w:rsidP="00F23C34">
            <w:r w:rsidRPr="00F23C34">
              <w:lastRenderedPageBreak/>
              <w:t xml:space="preserve">British Values are </w:t>
            </w:r>
            <w:r w:rsidR="000746A5">
              <w:t>effectively</w:t>
            </w:r>
            <w:r w:rsidRPr="00F23C34">
              <w:t xml:space="preserve"> promoted through </w:t>
            </w:r>
            <w:r w:rsidR="000746A5">
              <w:t xml:space="preserve">the </w:t>
            </w:r>
            <w:r w:rsidRPr="00F23C34">
              <w:t xml:space="preserve">PSHE curriculum and other opportunities </w:t>
            </w:r>
            <w:r w:rsidR="000E55D5" w:rsidRPr="00F23C34">
              <w:t>e.g.,</w:t>
            </w:r>
            <w:r w:rsidRPr="00F23C34">
              <w:t xml:space="preserve"> assemblies</w:t>
            </w:r>
          </w:p>
        </w:tc>
        <w:tc>
          <w:tcPr>
            <w:tcW w:w="4860" w:type="dxa"/>
          </w:tcPr>
          <w:p w14:paraId="7306062E" w14:textId="77777777" w:rsidR="00F23C34" w:rsidRPr="00F23C34" w:rsidRDefault="00F23C34" w:rsidP="00F23C34"/>
        </w:tc>
        <w:tc>
          <w:tcPr>
            <w:tcW w:w="2070" w:type="dxa"/>
          </w:tcPr>
          <w:p w14:paraId="4928165C" w14:textId="77777777" w:rsidR="00F23C34" w:rsidRPr="00F23C34" w:rsidRDefault="00F23C34" w:rsidP="00F23C34"/>
        </w:tc>
        <w:tc>
          <w:tcPr>
            <w:tcW w:w="1980" w:type="dxa"/>
          </w:tcPr>
          <w:p w14:paraId="21EEA6CF" w14:textId="77777777" w:rsidR="00F23C34" w:rsidRPr="00F23C34" w:rsidRDefault="00F23C34" w:rsidP="00F23C34"/>
        </w:tc>
      </w:tr>
      <w:tr w:rsidR="00F1164A" w:rsidRPr="00F23C34" w14:paraId="119BA5A4" w14:textId="77777777" w:rsidTr="004D0264">
        <w:tc>
          <w:tcPr>
            <w:tcW w:w="4855" w:type="dxa"/>
          </w:tcPr>
          <w:p w14:paraId="3D8D549F" w14:textId="53EB7B22" w:rsidR="00F1164A" w:rsidRPr="00F23C34" w:rsidRDefault="00391660" w:rsidP="00F23C34">
            <w:r>
              <w:t>Pupils have ‘s</w:t>
            </w:r>
            <w:r w:rsidR="00F1164A" w:rsidRPr="00F1164A">
              <w:t>afe space</w:t>
            </w:r>
            <w:r w:rsidR="0077139F">
              <w:t>s</w:t>
            </w:r>
            <w:r>
              <w:t xml:space="preserve">’ </w:t>
            </w:r>
            <w:r w:rsidR="001A43EF">
              <w:t xml:space="preserve">where </w:t>
            </w:r>
            <w:r w:rsidR="00F1164A" w:rsidRPr="00F1164A">
              <w:t>controversial topics</w:t>
            </w:r>
            <w:r w:rsidR="00C23A18">
              <w:t xml:space="preserve"> may be discussed</w:t>
            </w:r>
            <w:r w:rsidR="00797069">
              <w:t xml:space="preserve">; </w:t>
            </w:r>
            <w:r w:rsidR="000E672D">
              <w:t>providing</w:t>
            </w:r>
            <w:r w:rsidR="00F1164A" w:rsidRPr="00F1164A">
              <w:t xml:space="preserve"> a chance </w:t>
            </w:r>
            <w:r w:rsidR="00797069">
              <w:t xml:space="preserve">for them </w:t>
            </w:r>
            <w:r w:rsidR="00F1164A" w:rsidRPr="00F1164A">
              <w:t>to share their views and understand the views of others</w:t>
            </w:r>
          </w:p>
        </w:tc>
        <w:tc>
          <w:tcPr>
            <w:tcW w:w="4860" w:type="dxa"/>
          </w:tcPr>
          <w:p w14:paraId="71F43259" w14:textId="77777777" w:rsidR="00F1164A" w:rsidRPr="00F23C34" w:rsidRDefault="00F1164A" w:rsidP="00F23C34"/>
        </w:tc>
        <w:tc>
          <w:tcPr>
            <w:tcW w:w="2070" w:type="dxa"/>
          </w:tcPr>
          <w:p w14:paraId="403C7153" w14:textId="77777777" w:rsidR="00F1164A" w:rsidRPr="00F23C34" w:rsidRDefault="00F1164A" w:rsidP="00F23C34"/>
        </w:tc>
        <w:tc>
          <w:tcPr>
            <w:tcW w:w="1980" w:type="dxa"/>
          </w:tcPr>
          <w:p w14:paraId="69D453B1" w14:textId="77777777" w:rsidR="00F1164A" w:rsidRPr="00F23C34" w:rsidRDefault="00F1164A" w:rsidP="00F23C34"/>
        </w:tc>
      </w:tr>
      <w:tr w:rsidR="00F23C34" w:rsidRPr="00F23C34" w14:paraId="1EF8A317" w14:textId="77777777" w:rsidTr="004D0264">
        <w:tc>
          <w:tcPr>
            <w:tcW w:w="4855" w:type="dxa"/>
          </w:tcPr>
          <w:p w14:paraId="27973D64" w14:textId="418F6D54" w:rsidR="00F23C34" w:rsidRPr="00F23C34" w:rsidRDefault="00F23C34" w:rsidP="00F23C34">
            <w:r w:rsidRPr="00F23C34">
              <w:t xml:space="preserve">There are adequate arrangements in place to provide relevant pastoral care to support diversity </w:t>
            </w:r>
            <w:r w:rsidR="009C7F1F" w:rsidRPr="00F23C34">
              <w:t>e.g.,</w:t>
            </w:r>
            <w:r w:rsidRPr="00F23C34">
              <w:t xml:space="preserve"> prayer room etc.</w:t>
            </w:r>
          </w:p>
        </w:tc>
        <w:tc>
          <w:tcPr>
            <w:tcW w:w="4860" w:type="dxa"/>
          </w:tcPr>
          <w:p w14:paraId="701AE8E9" w14:textId="77777777" w:rsidR="00F23C34" w:rsidRPr="00F23C34" w:rsidRDefault="00F23C34" w:rsidP="00F23C34"/>
        </w:tc>
        <w:tc>
          <w:tcPr>
            <w:tcW w:w="2070" w:type="dxa"/>
          </w:tcPr>
          <w:p w14:paraId="53662CB4" w14:textId="77777777" w:rsidR="00F23C34" w:rsidRPr="00F23C34" w:rsidRDefault="00F23C34" w:rsidP="00F23C34"/>
        </w:tc>
        <w:tc>
          <w:tcPr>
            <w:tcW w:w="1980" w:type="dxa"/>
          </w:tcPr>
          <w:p w14:paraId="11CDCB30" w14:textId="77777777" w:rsidR="00F23C34" w:rsidRPr="00F23C34" w:rsidRDefault="00F23C34" w:rsidP="00F23C34"/>
        </w:tc>
      </w:tr>
      <w:tr w:rsidR="000E2249" w:rsidRPr="00F23C34" w14:paraId="092A0B4A" w14:textId="77777777" w:rsidTr="004D0264">
        <w:tc>
          <w:tcPr>
            <w:tcW w:w="4855" w:type="dxa"/>
          </w:tcPr>
          <w:p w14:paraId="2EBFED91" w14:textId="2879BDFE" w:rsidR="00F21782" w:rsidRPr="00F21782" w:rsidRDefault="00F21782" w:rsidP="00F21782">
            <w:r w:rsidRPr="00F21782">
              <w:t xml:space="preserve">Special provision </w:t>
            </w:r>
            <w:r>
              <w:t>is</w:t>
            </w:r>
            <w:r w:rsidRPr="00F21782">
              <w:t xml:space="preserve"> in place to support conversations with children, young people or adult learners who:</w:t>
            </w:r>
          </w:p>
          <w:p w14:paraId="14098CC6" w14:textId="77777777" w:rsidR="00F21782" w:rsidRPr="00F21782" w:rsidRDefault="00F21782" w:rsidP="00F21782">
            <w:pPr>
              <w:numPr>
                <w:ilvl w:val="0"/>
                <w:numId w:val="1"/>
              </w:numPr>
            </w:pPr>
            <w:r w:rsidRPr="00F21782">
              <w:t xml:space="preserve">have communication </w:t>
            </w:r>
            <w:proofErr w:type="gramStart"/>
            <w:r w:rsidRPr="00F21782">
              <w:t>difficulties</w:t>
            </w:r>
            <w:proofErr w:type="gramEnd"/>
          </w:p>
          <w:p w14:paraId="4D6A4B24" w14:textId="77777777" w:rsidR="00F21782" w:rsidRPr="00F21782" w:rsidRDefault="00F21782" w:rsidP="00F21782">
            <w:pPr>
              <w:numPr>
                <w:ilvl w:val="0"/>
                <w:numId w:val="1"/>
              </w:numPr>
            </w:pPr>
            <w:r w:rsidRPr="00F21782">
              <w:t xml:space="preserve">are too </w:t>
            </w:r>
            <w:proofErr w:type="gramStart"/>
            <w:r w:rsidRPr="00F21782">
              <w:t>young</w:t>
            </w:r>
            <w:proofErr w:type="gramEnd"/>
          </w:p>
          <w:p w14:paraId="01D17B4C" w14:textId="77777777" w:rsidR="00F21782" w:rsidRPr="00F21782" w:rsidRDefault="00F21782" w:rsidP="00F21782">
            <w:pPr>
              <w:numPr>
                <w:ilvl w:val="0"/>
                <w:numId w:val="1"/>
              </w:numPr>
            </w:pPr>
            <w:r w:rsidRPr="00F21782">
              <w:t xml:space="preserve">are unable to </w:t>
            </w:r>
            <w:proofErr w:type="gramStart"/>
            <w:r w:rsidRPr="00F21782">
              <w:t>communicate</w:t>
            </w:r>
            <w:proofErr w:type="gramEnd"/>
          </w:p>
          <w:p w14:paraId="24A3AE70" w14:textId="5BEEAD7A" w:rsidR="000E2249" w:rsidRPr="00F21782" w:rsidRDefault="00F21782" w:rsidP="00F23C34">
            <w:pPr>
              <w:numPr>
                <w:ilvl w:val="0"/>
                <w:numId w:val="1"/>
              </w:numPr>
            </w:pPr>
            <w:r w:rsidRPr="00F21782">
              <w:t>cannot or will not explain</w:t>
            </w:r>
          </w:p>
        </w:tc>
        <w:tc>
          <w:tcPr>
            <w:tcW w:w="4860" w:type="dxa"/>
          </w:tcPr>
          <w:p w14:paraId="3667B3F6" w14:textId="77777777" w:rsidR="000E2249" w:rsidRPr="00F23C34" w:rsidRDefault="000E2249" w:rsidP="00F23C34"/>
        </w:tc>
        <w:tc>
          <w:tcPr>
            <w:tcW w:w="2070" w:type="dxa"/>
          </w:tcPr>
          <w:p w14:paraId="436FC3D3" w14:textId="77777777" w:rsidR="000E2249" w:rsidRPr="00F23C34" w:rsidRDefault="000E2249" w:rsidP="00F23C34"/>
        </w:tc>
        <w:tc>
          <w:tcPr>
            <w:tcW w:w="1980" w:type="dxa"/>
          </w:tcPr>
          <w:p w14:paraId="31B85F3A" w14:textId="77777777" w:rsidR="000E2249" w:rsidRPr="00F23C34" w:rsidRDefault="000E2249" w:rsidP="00F23C34"/>
        </w:tc>
      </w:tr>
      <w:tr w:rsidR="00F23C34" w:rsidRPr="00F23C34" w14:paraId="5892ACAA" w14:textId="77777777" w:rsidTr="004D0264">
        <w:tc>
          <w:tcPr>
            <w:tcW w:w="4855" w:type="dxa"/>
          </w:tcPr>
          <w:p w14:paraId="43957B1A" w14:textId="520E0BE5" w:rsidR="00F23C34" w:rsidRPr="00F23C34" w:rsidRDefault="00F23C34" w:rsidP="00F23C34">
            <w:r w:rsidRPr="00F23C34">
              <w:t xml:space="preserve">ICT facilities and policy are supportive of the </w:t>
            </w:r>
            <w:r w:rsidR="0090145E">
              <w:t>PREVENT</w:t>
            </w:r>
            <w:r w:rsidRPr="00F23C34">
              <w:t xml:space="preserve"> duty </w:t>
            </w:r>
            <w:r w:rsidR="005B3586" w:rsidRPr="00F23C34">
              <w:t>e.g.,</w:t>
            </w:r>
            <w:r w:rsidRPr="00F23C34">
              <w:t xml:space="preserve"> systems have adequate filtering</w:t>
            </w:r>
            <w:r w:rsidR="005B283F">
              <w:t xml:space="preserve"> and monitoring</w:t>
            </w:r>
          </w:p>
        </w:tc>
        <w:tc>
          <w:tcPr>
            <w:tcW w:w="4860" w:type="dxa"/>
          </w:tcPr>
          <w:p w14:paraId="35C6A4EA" w14:textId="77777777" w:rsidR="00935EC9" w:rsidRDefault="00935EC9" w:rsidP="00F23C34"/>
          <w:p w14:paraId="729AD72E" w14:textId="1BF00021" w:rsidR="00B27CA3" w:rsidRDefault="00B27CA3" w:rsidP="00F23C34"/>
          <w:p w14:paraId="58A074CD" w14:textId="36D05D5F" w:rsidR="00B27CA3" w:rsidRPr="00F23C34" w:rsidRDefault="00B27CA3" w:rsidP="00F23C34"/>
        </w:tc>
        <w:tc>
          <w:tcPr>
            <w:tcW w:w="2070" w:type="dxa"/>
          </w:tcPr>
          <w:p w14:paraId="1EADCCF1" w14:textId="77777777" w:rsidR="00F23C34" w:rsidRPr="00F23C34" w:rsidRDefault="00F23C34" w:rsidP="00F23C34"/>
        </w:tc>
        <w:tc>
          <w:tcPr>
            <w:tcW w:w="1980" w:type="dxa"/>
          </w:tcPr>
          <w:p w14:paraId="0C9C05AE" w14:textId="77777777" w:rsidR="00F23C34" w:rsidRPr="00F23C34" w:rsidRDefault="00F23C34" w:rsidP="00F23C34"/>
        </w:tc>
      </w:tr>
      <w:tr w:rsidR="00F23C34" w:rsidRPr="00F23C34" w14:paraId="543E6772" w14:textId="77777777" w:rsidTr="0048229E">
        <w:tc>
          <w:tcPr>
            <w:tcW w:w="13765" w:type="dxa"/>
            <w:gridSpan w:val="4"/>
            <w:shd w:val="clear" w:color="auto" w:fill="9CC2E5" w:themeFill="accent1" w:themeFillTint="99"/>
          </w:tcPr>
          <w:p w14:paraId="17BDE432" w14:textId="77777777" w:rsidR="00F23C34" w:rsidRDefault="00F23C34" w:rsidP="00F23C34">
            <w:r w:rsidRPr="00F23C34">
              <w:t>WORKING IN PARTNERSHIP</w:t>
            </w:r>
          </w:p>
          <w:p w14:paraId="0DF6E867" w14:textId="186FE556" w:rsidR="0048229E" w:rsidRPr="00F23C34" w:rsidRDefault="0048229E" w:rsidP="00F23C34"/>
        </w:tc>
      </w:tr>
      <w:tr w:rsidR="00F23C34" w:rsidRPr="00F23C34" w14:paraId="6A345B25" w14:textId="77777777" w:rsidTr="004D0264">
        <w:tc>
          <w:tcPr>
            <w:tcW w:w="4855" w:type="dxa"/>
          </w:tcPr>
          <w:p w14:paraId="79136ACF" w14:textId="77777777" w:rsidR="00F23C34" w:rsidRPr="00F23C34" w:rsidRDefault="00F23C34" w:rsidP="00B27CA3">
            <w:pPr>
              <w:jc w:val="center"/>
            </w:pPr>
            <w:r w:rsidRPr="00F23C34">
              <w:t>Indicator</w:t>
            </w:r>
          </w:p>
        </w:tc>
        <w:tc>
          <w:tcPr>
            <w:tcW w:w="4860" w:type="dxa"/>
          </w:tcPr>
          <w:p w14:paraId="50FA54FB" w14:textId="77777777" w:rsidR="00F23C34" w:rsidRDefault="00F23C34" w:rsidP="00B27CA3">
            <w:pPr>
              <w:jc w:val="center"/>
            </w:pPr>
            <w:r w:rsidRPr="00F23C34">
              <w:t>Evidence</w:t>
            </w:r>
          </w:p>
          <w:p w14:paraId="78F584B3" w14:textId="4835BF57" w:rsidR="00AF4C9F" w:rsidRPr="00F23C34" w:rsidRDefault="00AF4C9F" w:rsidP="00B27CA3">
            <w:pPr>
              <w:jc w:val="center"/>
            </w:pPr>
          </w:p>
        </w:tc>
        <w:tc>
          <w:tcPr>
            <w:tcW w:w="2070" w:type="dxa"/>
          </w:tcPr>
          <w:p w14:paraId="7DF0D0D1" w14:textId="77777777" w:rsidR="00F23C34" w:rsidRPr="00F23C34" w:rsidRDefault="00F23C34" w:rsidP="00B27CA3">
            <w:pPr>
              <w:jc w:val="center"/>
            </w:pPr>
            <w:r w:rsidRPr="00F23C34">
              <w:t>Risk Rating</w:t>
            </w:r>
          </w:p>
        </w:tc>
        <w:tc>
          <w:tcPr>
            <w:tcW w:w="1980" w:type="dxa"/>
          </w:tcPr>
          <w:p w14:paraId="1A87E3A1" w14:textId="77777777" w:rsidR="00F23C34" w:rsidRPr="00F23C34" w:rsidRDefault="00F23C34" w:rsidP="00B27CA3">
            <w:pPr>
              <w:jc w:val="center"/>
            </w:pPr>
            <w:r w:rsidRPr="00F23C34">
              <w:t>Action Required</w:t>
            </w:r>
          </w:p>
        </w:tc>
      </w:tr>
      <w:tr w:rsidR="00F23C34" w:rsidRPr="00F23C34" w14:paraId="46439D5B" w14:textId="77777777" w:rsidTr="004D0264">
        <w:tc>
          <w:tcPr>
            <w:tcW w:w="4855" w:type="dxa"/>
          </w:tcPr>
          <w:p w14:paraId="75999B77" w14:textId="3DD47CE0" w:rsidR="00F23C34" w:rsidRPr="00F23C34" w:rsidRDefault="002B3514" w:rsidP="00F23C34">
            <w:r>
              <w:t>Links with partner agencies</w:t>
            </w:r>
            <w:r w:rsidR="00F23C34" w:rsidRPr="00F23C34">
              <w:t xml:space="preserve"> ha</w:t>
            </w:r>
            <w:r>
              <w:t>ve</w:t>
            </w:r>
            <w:r w:rsidR="00F23C34" w:rsidRPr="00F23C34">
              <w:t xml:space="preserve"> been developed </w:t>
            </w:r>
            <w:r w:rsidR="00752490">
              <w:t>and are effective</w:t>
            </w:r>
          </w:p>
        </w:tc>
        <w:tc>
          <w:tcPr>
            <w:tcW w:w="4860" w:type="dxa"/>
          </w:tcPr>
          <w:p w14:paraId="20EE1C31" w14:textId="77777777" w:rsidR="00F23C34" w:rsidRPr="00F23C34" w:rsidRDefault="00F23C34" w:rsidP="00F23C34"/>
        </w:tc>
        <w:tc>
          <w:tcPr>
            <w:tcW w:w="2070" w:type="dxa"/>
          </w:tcPr>
          <w:p w14:paraId="69BC564B" w14:textId="77777777" w:rsidR="00F23C34" w:rsidRPr="00F23C34" w:rsidRDefault="00F23C34" w:rsidP="00F23C34"/>
        </w:tc>
        <w:tc>
          <w:tcPr>
            <w:tcW w:w="1980" w:type="dxa"/>
          </w:tcPr>
          <w:p w14:paraId="79477AEC" w14:textId="77777777" w:rsidR="00F23C34" w:rsidRPr="00F23C34" w:rsidRDefault="00F23C34" w:rsidP="00F23C34"/>
        </w:tc>
      </w:tr>
      <w:tr w:rsidR="00752490" w:rsidRPr="00F23C34" w14:paraId="596DB94C" w14:textId="77777777" w:rsidTr="004D0264">
        <w:tc>
          <w:tcPr>
            <w:tcW w:w="4855" w:type="dxa"/>
          </w:tcPr>
          <w:p w14:paraId="18D05A29" w14:textId="0A49EA0D" w:rsidR="00752490" w:rsidRDefault="00B70BE9" w:rsidP="00F23C34">
            <w:r w:rsidRPr="00B70BE9">
              <w:t>There is a clear escalation policy about the appropriate time to call the police</w:t>
            </w:r>
          </w:p>
        </w:tc>
        <w:tc>
          <w:tcPr>
            <w:tcW w:w="4860" w:type="dxa"/>
          </w:tcPr>
          <w:p w14:paraId="0C1F90F8" w14:textId="77777777" w:rsidR="00752490" w:rsidRPr="00F23C34" w:rsidRDefault="00752490" w:rsidP="00F23C34"/>
        </w:tc>
        <w:tc>
          <w:tcPr>
            <w:tcW w:w="2070" w:type="dxa"/>
          </w:tcPr>
          <w:p w14:paraId="320924CE" w14:textId="77777777" w:rsidR="00752490" w:rsidRPr="00F23C34" w:rsidRDefault="00752490" w:rsidP="00F23C34"/>
        </w:tc>
        <w:tc>
          <w:tcPr>
            <w:tcW w:w="1980" w:type="dxa"/>
          </w:tcPr>
          <w:p w14:paraId="23D5BAD8" w14:textId="77777777" w:rsidR="00752490" w:rsidRPr="00F23C34" w:rsidRDefault="00752490" w:rsidP="00F23C34"/>
        </w:tc>
      </w:tr>
      <w:tr w:rsidR="00F23C34" w:rsidRPr="00F23C34" w14:paraId="07EA1CC4" w14:textId="77777777" w:rsidTr="004D0264">
        <w:tc>
          <w:tcPr>
            <w:tcW w:w="4855" w:type="dxa"/>
          </w:tcPr>
          <w:p w14:paraId="2AF87C02" w14:textId="5843C47B" w:rsidR="00F23C34" w:rsidRPr="00F23C34" w:rsidRDefault="00F23C34" w:rsidP="00F23C34">
            <w:r w:rsidRPr="00F23C34">
              <w:t xml:space="preserve">Effective links established with Children’s Service e.g. Early Help for support </w:t>
            </w:r>
            <w:r w:rsidR="00EF741A">
              <w:t xml:space="preserve">where risk has been identified as </w:t>
            </w:r>
            <w:r w:rsidRPr="00F23C34">
              <w:t>radicalisation and extremism</w:t>
            </w:r>
          </w:p>
        </w:tc>
        <w:tc>
          <w:tcPr>
            <w:tcW w:w="4860" w:type="dxa"/>
          </w:tcPr>
          <w:p w14:paraId="19BA2B4D" w14:textId="77777777" w:rsidR="00F23C34" w:rsidRPr="00F23C34" w:rsidRDefault="00F23C34" w:rsidP="00F23C34"/>
        </w:tc>
        <w:tc>
          <w:tcPr>
            <w:tcW w:w="2070" w:type="dxa"/>
          </w:tcPr>
          <w:p w14:paraId="161BE2E5" w14:textId="77777777" w:rsidR="00F23C34" w:rsidRPr="00F23C34" w:rsidRDefault="00F23C34" w:rsidP="00F23C34"/>
        </w:tc>
        <w:tc>
          <w:tcPr>
            <w:tcW w:w="1980" w:type="dxa"/>
          </w:tcPr>
          <w:p w14:paraId="46DC2E54" w14:textId="77777777" w:rsidR="00F23C34" w:rsidRPr="00F23C34" w:rsidRDefault="00F23C34" w:rsidP="00F23C34"/>
        </w:tc>
      </w:tr>
      <w:tr w:rsidR="00F23C34" w:rsidRPr="00F23C34" w14:paraId="1F04D73B" w14:textId="77777777" w:rsidTr="004D0264">
        <w:tc>
          <w:tcPr>
            <w:tcW w:w="4855" w:type="dxa"/>
          </w:tcPr>
          <w:p w14:paraId="3B5E5349" w14:textId="32AE6642" w:rsidR="00F23C34" w:rsidRPr="00F23C34" w:rsidRDefault="00F23C34" w:rsidP="00F23C34">
            <w:r w:rsidRPr="00F23C34">
              <w:t>External speakers are quality assured to ensure that they promote British Values</w:t>
            </w:r>
            <w:r w:rsidR="000E55D5">
              <w:t xml:space="preserve">. </w:t>
            </w:r>
          </w:p>
        </w:tc>
        <w:tc>
          <w:tcPr>
            <w:tcW w:w="4860" w:type="dxa"/>
          </w:tcPr>
          <w:p w14:paraId="2CADE752" w14:textId="77777777" w:rsidR="00F23C34" w:rsidRPr="00F23C34" w:rsidRDefault="00F23C34" w:rsidP="00F23C34"/>
        </w:tc>
        <w:tc>
          <w:tcPr>
            <w:tcW w:w="2070" w:type="dxa"/>
          </w:tcPr>
          <w:p w14:paraId="268FF96D" w14:textId="77777777" w:rsidR="00F23C34" w:rsidRPr="00F23C34" w:rsidRDefault="00F23C34" w:rsidP="00F23C34"/>
        </w:tc>
        <w:tc>
          <w:tcPr>
            <w:tcW w:w="1980" w:type="dxa"/>
          </w:tcPr>
          <w:p w14:paraId="7C608CC2" w14:textId="77777777" w:rsidR="00F23C34" w:rsidRPr="00F23C34" w:rsidRDefault="00F23C34" w:rsidP="00F23C34"/>
        </w:tc>
      </w:tr>
      <w:tr w:rsidR="000E55D5" w:rsidRPr="00F23C34" w14:paraId="6B52FD5B" w14:textId="77777777" w:rsidTr="004D0264">
        <w:tc>
          <w:tcPr>
            <w:tcW w:w="4855" w:type="dxa"/>
          </w:tcPr>
          <w:p w14:paraId="5B246566" w14:textId="6795CE23" w:rsidR="000E55D5" w:rsidRPr="00F23C34" w:rsidRDefault="000E55D5" w:rsidP="00F23C34">
            <w:r w:rsidRPr="000E55D5">
              <w:lastRenderedPageBreak/>
              <w:t>The protocols for booking and supervising visiting speakers is outlined in the Safeguarding Policy and/or other associated policy</w:t>
            </w:r>
          </w:p>
        </w:tc>
        <w:tc>
          <w:tcPr>
            <w:tcW w:w="4860" w:type="dxa"/>
          </w:tcPr>
          <w:p w14:paraId="1E52D638" w14:textId="77777777" w:rsidR="000E55D5" w:rsidRPr="00F23C34" w:rsidRDefault="000E55D5" w:rsidP="00F23C34"/>
        </w:tc>
        <w:tc>
          <w:tcPr>
            <w:tcW w:w="2070" w:type="dxa"/>
          </w:tcPr>
          <w:p w14:paraId="6AF0E5DA" w14:textId="77777777" w:rsidR="000E55D5" w:rsidRPr="00F23C34" w:rsidRDefault="000E55D5" w:rsidP="00F23C34"/>
        </w:tc>
        <w:tc>
          <w:tcPr>
            <w:tcW w:w="1980" w:type="dxa"/>
          </w:tcPr>
          <w:p w14:paraId="36AECF49" w14:textId="77777777" w:rsidR="000E55D5" w:rsidRPr="00F23C34" w:rsidRDefault="000E55D5" w:rsidP="00F23C34"/>
        </w:tc>
      </w:tr>
    </w:tbl>
    <w:p w14:paraId="17C1A384" w14:textId="77777777" w:rsidR="00F23C34" w:rsidRPr="00F23C34" w:rsidRDefault="00F23C34" w:rsidP="00F23C34">
      <w:pPr>
        <w:spacing w:line="259" w:lineRule="auto"/>
        <w:rPr>
          <w:rFonts w:eastAsiaTheme="minorHAnsi"/>
          <w:sz w:val="22"/>
          <w:szCs w:val="22"/>
        </w:rPr>
      </w:pPr>
    </w:p>
    <w:p w14:paraId="684E1990" w14:textId="77777777" w:rsidR="00F23C34" w:rsidRPr="00945499" w:rsidRDefault="00F23C34" w:rsidP="00591C42">
      <w:pPr>
        <w:ind w:left="4320" w:firstLine="720"/>
        <w:rPr>
          <w:rFonts w:cstheme="minorHAnsi"/>
          <w:b/>
          <w:sz w:val="22"/>
          <w:szCs w:val="22"/>
        </w:rPr>
      </w:pPr>
    </w:p>
    <w:sectPr w:rsidR="00F23C34" w:rsidRPr="00945499" w:rsidSect="001562E2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FE4D" w14:textId="77777777" w:rsidR="000F5B22" w:rsidRDefault="000F5B22" w:rsidP="00D70784">
      <w:pPr>
        <w:spacing w:after="0" w:line="240" w:lineRule="auto"/>
      </w:pPr>
      <w:r>
        <w:separator/>
      </w:r>
    </w:p>
  </w:endnote>
  <w:endnote w:type="continuationSeparator" w:id="0">
    <w:p w14:paraId="1624E6C8" w14:textId="77777777" w:rsidR="000F5B22" w:rsidRDefault="000F5B22" w:rsidP="00D7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9A44" w14:textId="77777777" w:rsidR="000F5B22" w:rsidRDefault="000F5B22" w:rsidP="00D70784">
      <w:pPr>
        <w:spacing w:after="0" w:line="240" w:lineRule="auto"/>
      </w:pPr>
      <w:r>
        <w:separator/>
      </w:r>
    </w:p>
  </w:footnote>
  <w:footnote w:type="continuationSeparator" w:id="0">
    <w:p w14:paraId="5E10E052" w14:textId="77777777" w:rsidR="000F5B22" w:rsidRDefault="000F5B22" w:rsidP="00D7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A27" w14:textId="77777777" w:rsidR="008702FA" w:rsidRPr="00CF51F8" w:rsidRDefault="008702FA">
    <w:pPr>
      <w:pStyle w:val="Header"/>
      <w:rPr>
        <w:sz w:val="28"/>
        <w:szCs w:val="28"/>
      </w:rPr>
    </w:pPr>
  </w:p>
  <w:p w14:paraId="112BB995" w14:textId="3200DFA6" w:rsidR="00D70784" w:rsidRPr="00CF51F8" w:rsidRDefault="00D7078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4774"/>
    <w:multiLevelType w:val="multilevel"/>
    <w:tmpl w:val="C6C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57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CD"/>
    <w:rsid w:val="0000277C"/>
    <w:rsid w:val="00005AC3"/>
    <w:rsid w:val="000400D2"/>
    <w:rsid w:val="00046278"/>
    <w:rsid w:val="000746A5"/>
    <w:rsid w:val="00077C88"/>
    <w:rsid w:val="0009178A"/>
    <w:rsid w:val="000A39B7"/>
    <w:rsid w:val="000E2249"/>
    <w:rsid w:val="000E4E53"/>
    <w:rsid w:val="000E55D5"/>
    <w:rsid w:val="000E672D"/>
    <w:rsid w:val="000F5B22"/>
    <w:rsid w:val="001101A2"/>
    <w:rsid w:val="001562E2"/>
    <w:rsid w:val="00156B62"/>
    <w:rsid w:val="00181CA6"/>
    <w:rsid w:val="001A17C2"/>
    <w:rsid w:val="001A43EF"/>
    <w:rsid w:val="001F4C25"/>
    <w:rsid w:val="00226E68"/>
    <w:rsid w:val="002823E4"/>
    <w:rsid w:val="002A122B"/>
    <w:rsid w:val="002A66CF"/>
    <w:rsid w:val="002B3514"/>
    <w:rsid w:val="002C1974"/>
    <w:rsid w:val="002E00ED"/>
    <w:rsid w:val="00324273"/>
    <w:rsid w:val="00344A62"/>
    <w:rsid w:val="00391660"/>
    <w:rsid w:val="003E2893"/>
    <w:rsid w:val="00423A9A"/>
    <w:rsid w:val="0042724E"/>
    <w:rsid w:val="00431B71"/>
    <w:rsid w:val="00441238"/>
    <w:rsid w:val="00452943"/>
    <w:rsid w:val="0048229E"/>
    <w:rsid w:val="004A13E6"/>
    <w:rsid w:val="004A4C58"/>
    <w:rsid w:val="004C12CA"/>
    <w:rsid w:val="005058E3"/>
    <w:rsid w:val="005439DC"/>
    <w:rsid w:val="00562BC0"/>
    <w:rsid w:val="00591C42"/>
    <w:rsid w:val="005B283F"/>
    <w:rsid w:val="005B3586"/>
    <w:rsid w:val="005B5308"/>
    <w:rsid w:val="005D4F70"/>
    <w:rsid w:val="005E2BD4"/>
    <w:rsid w:val="006378AF"/>
    <w:rsid w:val="00646659"/>
    <w:rsid w:val="0067380F"/>
    <w:rsid w:val="00674C98"/>
    <w:rsid w:val="00677575"/>
    <w:rsid w:val="00694503"/>
    <w:rsid w:val="00696DCD"/>
    <w:rsid w:val="006B019B"/>
    <w:rsid w:val="006C70CC"/>
    <w:rsid w:val="006E1ABC"/>
    <w:rsid w:val="00713694"/>
    <w:rsid w:val="00714F36"/>
    <w:rsid w:val="00717EB1"/>
    <w:rsid w:val="00732F45"/>
    <w:rsid w:val="00752490"/>
    <w:rsid w:val="00760082"/>
    <w:rsid w:val="00761654"/>
    <w:rsid w:val="007667E5"/>
    <w:rsid w:val="0077139F"/>
    <w:rsid w:val="007715B5"/>
    <w:rsid w:val="00791BDC"/>
    <w:rsid w:val="00797069"/>
    <w:rsid w:val="007A17D7"/>
    <w:rsid w:val="007C3F62"/>
    <w:rsid w:val="007C45C8"/>
    <w:rsid w:val="007E6EF4"/>
    <w:rsid w:val="00803C01"/>
    <w:rsid w:val="0083191C"/>
    <w:rsid w:val="00852D94"/>
    <w:rsid w:val="00857421"/>
    <w:rsid w:val="008702FA"/>
    <w:rsid w:val="00881C1C"/>
    <w:rsid w:val="00892442"/>
    <w:rsid w:val="0089285B"/>
    <w:rsid w:val="008943C4"/>
    <w:rsid w:val="0090145E"/>
    <w:rsid w:val="00930042"/>
    <w:rsid w:val="00932A21"/>
    <w:rsid w:val="00935EC9"/>
    <w:rsid w:val="009405EF"/>
    <w:rsid w:val="00945499"/>
    <w:rsid w:val="00966B38"/>
    <w:rsid w:val="0099543A"/>
    <w:rsid w:val="009C7F1F"/>
    <w:rsid w:val="009F3263"/>
    <w:rsid w:val="00A06F26"/>
    <w:rsid w:val="00A2674D"/>
    <w:rsid w:val="00A51699"/>
    <w:rsid w:val="00A578FE"/>
    <w:rsid w:val="00A7785B"/>
    <w:rsid w:val="00A8116B"/>
    <w:rsid w:val="00AC4329"/>
    <w:rsid w:val="00AE4BF5"/>
    <w:rsid w:val="00AF4C9F"/>
    <w:rsid w:val="00AF5818"/>
    <w:rsid w:val="00B11EAB"/>
    <w:rsid w:val="00B27CA3"/>
    <w:rsid w:val="00B512FA"/>
    <w:rsid w:val="00B70BE9"/>
    <w:rsid w:val="00B82C28"/>
    <w:rsid w:val="00B91527"/>
    <w:rsid w:val="00BB0560"/>
    <w:rsid w:val="00BB0D2B"/>
    <w:rsid w:val="00BC484B"/>
    <w:rsid w:val="00BE5059"/>
    <w:rsid w:val="00BE5D36"/>
    <w:rsid w:val="00C23A18"/>
    <w:rsid w:val="00C44E48"/>
    <w:rsid w:val="00C47C00"/>
    <w:rsid w:val="00CC624C"/>
    <w:rsid w:val="00CF51F8"/>
    <w:rsid w:val="00D01344"/>
    <w:rsid w:val="00D70784"/>
    <w:rsid w:val="00DB1CCC"/>
    <w:rsid w:val="00DE455A"/>
    <w:rsid w:val="00E0094E"/>
    <w:rsid w:val="00EF741A"/>
    <w:rsid w:val="00F10C56"/>
    <w:rsid w:val="00F1164A"/>
    <w:rsid w:val="00F11716"/>
    <w:rsid w:val="00F21782"/>
    <w:rsid w:val="00F23C34"/>
    <w:rsid w:val="00F25BC8"/>
    <w:rsid w:val="00F317D0"/>
    <w:rsid w:val="00F377E2"/>
    <w:rsid w:val="00F60DBC"/>
    <w:rsid w:val="00FA44AA"/>
    <w:rsid w:val="00FC6174"/>
    <w:rsid w:val="00FE32F1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A4169"/>
  <w15:chartTrackingRefBased/>
  <w15:docId w15:val="{B9AFE4C3-5FE1-40B4-8DC8-A9B7A97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D7"/>
  </w:style>
  <w:style w:type="paragraph" w:styleId="Heading1">
    <w:name w:val="heading 1"/>
    <w:basedOn w:val="Normal"/>
    <w:next w:val="Normal"/>
    <w:link w:val="Heading1Char"/>
    <w:uiPriority w:val="9"/>
    <w:qFormat/>
    <w:rsid w:val="007A17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7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7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7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7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7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7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7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84"/>
  </w:style>
  <w:style w:type="paragraph" w:styleId="Footer">
    <w:name w:val="footer"/>
    <w:basedOn w:val="Normal"/>
    <w:link w:val="FooterChar"/>
    <w:uiPriority w:val="99"/>
    <w:unhideWhenUsed/>
    <w:rsid w:val="00D7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84"/>
  </w:style>
  <w:style w:type="paragraph" w:styleId="NoSpacing">
    <w:name w:val="No Spacing"/>
    <w:uiPriority w:val="1"/>
    <w:qFormat/>
    <w:rsid w:val="007A17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17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7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7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7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7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7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7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7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17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17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7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7D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17D7"/>
    <w:rPr>
      <w:b/>
      <w:bCs/>
    </w:rPr>
  </w:style>
  <w:style w:type="character" w:styleId="Emphasis">
    <w:name w:val="Emphasis"/>
    <w:basedOn w:val="DefaultParagraphFont"/>
    <w:uiPriority w:val="20"/>
    <w:qFormat/>
    <w:rsid w:val="007A17D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A17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17D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7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7D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17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17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17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17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17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7D7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F23C3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72D8-74F9-4B8C-97CC-1504FA1C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Mexborough 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Corinna Fielding</cp:lastModifiedBy>
  <cp:revision>2</cp:revision>
  <dcterms:created xsi:type="dcterms:W3CDTF">2023-01-30T09:18:00Z</dcterms:created>
  <dcterms:modified xsi:type="dcterms:W3CDTF">2023-01-30T09:18:00Z</dcterms:modified>
</cp:coreProperties>
</file>